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ED" w:rsidRPr="00DF76ED" w:rsidRDefault="00DF76ED" w:rsidP="00DF76ED">
      <w:pPr>
        <w:pStyle w:val="Koptekst2"/>
        <w:jc w:val="center"/>
        <w:rPr>
          <w:lang w:val="nl-NL"/>
        </w:rPr>
      </w:pPr>
      <w:r w:rsidRPr="00DF76ED">
        <w:rPr>
          <w:lang w:val="nl-NL"/>
        </w:rPr>
        <w:t>Cursus Wittewrongel</w:t>
      </w:r>
    </w:p>
    <w:p w:rsidR="00DF76ED" w:rsidRDefault="00DF76ED" w:rsidP="00DF76ED">
      <w:pPr>
        <w:pStyle w:val="Koptekst3"/>
        <w:jc w:val="center"/>
      </w:pPr>
      <w:r>
        <w:t>Module 7</w:t>
      </w:r>
    </w:p>
    <w:p w:rsidR="00DF76ED" w:rsidRPr="00DF76ED" w:rsidRDefault="00DF76ED" w:rsidP="00DF76ED">
      <w:pPr>
        <w:pStyle w:val="Hoofdtekst"/>
        <w:rPr>
          <w:lang w:val="nl-NL"/>
        </w:rPr>
      </w:pPr>
    </w:p>
    <w:p w:rsidR="00DF76ED" w:rsidRPr="00DF76ED" w:rsidRDefault="00DF76ED" w:rsidP="00DF76ED">
      <w:pPr>
        <w:pStyle w:val="Hoofdteks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Deze zevende </w:t>
      </w:r>
      <w:r w:rsidRPr="00DF76ED">
        <w:rPr>
          <w:rFonts w:ascii="Times New Roman" w:hAnsi="Times New Roman"/>
          <w:sz w:val="24"/>
          <w:szCs w:val="24"/>
          <w:lang w:val="nl-NL"/>
        </w:rPr>
        <w:t>cursusmodule</w:t>
      </w:r>
      <w:r>
        <w:rPr>
          <w:rFonts w:ascii="Times New Roman" w:hAnsi="Times New Roman"/>
          <w:sz w:val="24"/>
          <w:szCs w:val="24"/>
          <w:lang w:val="nl-NL"/>
        </w:rPr>
        <w:t xml:space="preserve"> van de vijfdelige serie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Oeconomia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Christiana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door Petrus Wittewrongel, heeft 101 toetsingsvragen en bestrijkt de hoofdstukken 34 t/m 37 van Deel 1 (39</w:t>
      </w:r>
      <w:r w:rsidRPr="00DF76ED">
        <w:rPr>
          <w:rFonts w:ascii="Times New Roman" w:hAnsi="Times New Roman"/>
          <w:sz w:val="24"/>
          <w:szCs w:val="24"/>
          <w:lang w:val="nl-NL"/>
        </w:rPr>
        <w:t xml:space="preserve"> pagina's)</w:t>
      </w:r>
      <w:r>
        <w:rPr>
          <w:rFonts w:ascii="Times New Roman" w:hAnsi="Times New Roman"/>
          <w:sz w:val="24"/>
          <w:szCs w:val="24"/>
          <w:lang w:val="nl-NL"/>
        </w:rPr>
        <w:t xml:space="preserve"> en hoofdstuk 61 en 62 van Deel 3 (105 pagina’s). Deze vragen handelen in hoofdzaak over de Zedenkunst en dan in het bijzonder over gezag en plichten &amp; godsdienst en geloof.</w:t>
      </w:r>
    </w:p>
    <w:p w:rsidR="00DF76ED" w:rsidRPr="00DF76ED" w:rsidRDefault="00DF76ED" w:rsidP="00DF76ED">
      <w:pPr>
        <w:pStyle w:val="Hoofdteks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F76ED" w:rsidRPr="00DF76ED" w:rsidRDefault="00DF76ED" w:rsidP="00DF76ED">
      <w:pPr>
        <w:pStyle w:val="Hoofdteks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De toetsingsvragen zijn ingericht volgens het </w:t>
      </w:r>
      <w:r w:rsidRPr="00DF76ED">
        <w:rPr>
          <w:rFonts w:ascii="Times New Roman" w:hAnsi="Times New Roman"/>
          <w:sz w:val="24"/>
          <w:szCs w:val="24"/>
          <w:lang w:val="nl-NL"/>
        </w:rPr>
        <w:t>‘</w:t>
      </w:r>
      <w:r>
        <w:rPr>
          <w:rFonts w:ascii="Times New Roman" w:hAnsi="Times New Roman"/>
          <w:sz w:val="24"/>
          <w:szCs w:val="24"/>
          <w:lang w:val="nl-NL"/>
        </w:rPr>
        <w:t>meerkeuze principe</w:t>
      </w:r>
      <w:r w:rsidRPr="00DF76ED">
        <w:rPr>
          <w:rFonts w:ascii="Times New Roman" w:hAnsi="Times New Roman"/>
          <w:sz w:val="24"/>
          <w:szCs w:val="24"/>
          <w:lang w:val="nl-NL"/>
        </w:rPr>
        <w:t>’.</w:t>
      </w:r>
    </w:p>
    <w:p w:rsidR="00DF76ED" w:rsidRPr="00DF76ED" w:rsidRDefault="00DF76ED" w:rsidP="00DF76ED">
      <w:pPr>
        <w:pStyle w:val="Hoofdteks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Steeds zijn 3 opties met de aanduiding A, B en C als antwoord op een vraag gegeven.</w:t>
      </w:r>
    </w:p>
    <w:p w:rsidR="00DF76ED" w:rsidRPr="00DF76ED" w:rsidRDefault="00DF76ED" w:rsidP="00DF76ED">
      <w:pPr>
        <w:pStyle w:val="Hoofdteks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Na aandachtige lezing van het betreffende gedeelte, zal het niet moeilijk zijn de letter van het juiste antwoord bij de vraag te vermelden in de laatste kolom.</w:t>
      </w:r>
    </w:p>
    <w:p w:rsidR="00DF76ED" w:rsidRPr="00DF76ED" w:rsidRDefault="00DF76ED" w:rsidP="00DF76ED">
      <w:pPr>
        <w:pStyle w:val="Hoofdteks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ru-RU"/>
        </w:rPr>
        <w:t>Tolle Lege!</w:t>
      </w:r>
    </w:p>
    <w:p w:rsidR="00DF76ED" w:rsidRPr="00DF76ED" w:rsidRDefault="00DF76ED" w:rsidP="00DF76ED">
      <w:pPr>
        <w:pStyle w:val="Hoofdteks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F76ED" w:rsidRPr="00DF76ED" w:rsidRDefault="00DF76ED" w:rsidP="00DF76ED">
      <w:pPr>
        <w:pStyle w:val="Hoofdtekst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>B. Schalk</w:t>
      </w:r>
    </w:p>
    <w:p w:rsidR="00DF76ED" w:rsidRPr="00DF76ED" w:rsidRDefault="00DF76ED" w:rsidP="00DF76ED">
      <w:pPr>
        <w:pStyle w:val="Hoofdtekst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Harderwijkerstraat 93</w:t>
      </w:r>
    </w:p>
    <w:p w:rsidR="00DF76ED" w:rsidRPr="00DF76ED" w:rsidRDefault="00DF76ED" w:rsidP="00DF76ED">
      <w:pPr>
        <w:pStyle w:val="Hoofdtekst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3881 EG Putten </w:t>
      </w:r>
    </w:p>
    <w:p w:rsidR="00DF76ED" w:rsidRPr="00DF76ED" w:rsidRDefault="00DF76ED" w:rsidP="00DF76ED">
      <w:pPr>
        <w:pStyle w:val="Hoofdtekst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F76ED" w:rsidRPr="00DF76ED" w:rsidRDefault="00DF76ED" w:rsidP="00DF76ED">
      <w:pPr>
        <w:pStyle w:val="Hoofdtekst"/>
        <w:jc w:val="right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drawing>
          <wp:anchor distT="152400" distB="152400" distL="152400" distR="152400" simplePos="0" relativeHeight="251659264" behindDoc="0" locked="0" layoutInCell="1" allowOverlap="1" wp14:anchorId="30B56C67" wp14:editId="3B0C8BDA">
            <wp:simplePos x="0" y="0"/>
            <wp:positionH relativeFrom="margin">
              <wp:posOffset>2087245</wp:posOffset>
            </wp:positionH>
            <wp:positionV relativeFrom="line">
              <wp:posOffset>352489</wp:posOffset>
            </wp:positionV>
            <wp:extent cx="2651760" cy="4551680"/>
            <wp:effectExtent l="0" t="0" r="0" b="127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E57A33D-E1B2-4133-AC0C-169D7488D828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455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6" w:history="1">
        <w:r w:rsidRPr="00DF76ED">
          <w:rPr>
            <w:rStyle w:val="Hyperlink"/>
            <w:rFonts w:ascii="Times New Roman" w:hAnsi="Times New Roman"/>
            <w:sz w:val="24"/>
            <w:szCs w:val="24"/>
            <w:lang w:val="nl-NL"/>
          </w:rPr>
          <w:t>B.Schalk@kpnplanet.nl</w:t>
        </w:r>
      </w:hyperlink>
    </w:p>
    <w:p w:rsidR="00DF76ED" w:rsidRPr="00DF76ED" w:rsidRDefault="00DF76ED" w:rsidP="00DF76ED">
      <w:pPr>
        <w:pStyle w:val="Hoofdtekst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F76ED" w:rsidRPr="00DF76ED" w:rsidRDefault="00DF76ED" w:rsidP="00DF76ED">
      <w:pPr>
        <w:pStyle w:val="Hoofdtekst"/>
        <w:jc w:val="center"/>
        <w:rPr>
          <w:lang w:val="nl-NL"/>
        </w:rPr>
      </w:pPr>
      <w:r w:rsidRPr="00DF76ED">
        <w:rPr>
          <w:lang w:val="nl-NL"/>
        </w:rPr>
        <w:t xml:space="preserve">Jan </w:t>
      </w:r>
      <w:proofErr w:type="spellStart"/>
      <w:r w:rsidRPr="00DF76ED">
        <w:rPr>
          <w:lang w:val="nl-NL"/>
        </w:rPr>
        <w:t>Luyken</w:t>
      </w:r>
      <w:proofErr w:type="spellEnd"/>
      <w:r w:rsidRPr="00DF76ED">
        <w:rPr>
          <w:lang w:val="nl-NL"/>
        </w:rPr>
        <w:t xml:space="preserve"> (1649-1712)</w:t>
      </w:r>
    </w:p>
    <w:p w:rsidR="00DF76ED" w:rsidRDefault="00DF76ED" w:rsidP="00DF76ED">
      <w:pPr>
        <w:pStyle w:val="Hoofdtekst"/>
        <w:jc w:val="center"/>
      </w:pPr>
      <w:r>
        <w:rPr>
          <w:lang w:val="de-DE"/>
        </w:rPr>
        <w:t>(</w:t>
      </w:r>
      <w:proofErr w:type="spellStart"/>
      <w:r>
        <w:rPr>
          <w:lang w:val="de-DE"/>
        </w:rPr>
        <w:t>uit</w:t>
      </w:r>
      <w:proofErr w:type="spellEnd"/>
      <w:r>
        <w:rPr>
          <w:lang w:val="de-DE"/>
        </w:rPr>
        <w:t>: HET MENSELYK BEDRYF)</w:t>
      </w:r>
    </w:p>
    <w:p w:rsidR="00DF76ED" w:rsidRDefault="00DF76ED" w:rsidP="00DF76ED">
      <w:pPr>
        <w:pStyle w:val="Hoofdtekst"/>
        <w:jc w:val="center"/>
      </w:pPr>
      <w:r>
        <w:br/>
      </w:r>
      <w:r>
        <w:rPr>
          <w:rFonts w:ascii="Arial Unicode MS" w:hAnsi="Arial Unicode MS"/>
        </w:rPr>
        <w:br w:type="page"/>
      </w:r>
    </w:p>
    <w:tbl>
      <w:tblPr>
        <w:tblStyle w:val="TableNormal"/>
        <w:tblW w:w="1105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625"/>
        <w:gridCol w:w="5045"/>
        <w:gridCol w:w="425"/>
        <w:gridCol w:w="283"/>
      </w:tblGrid>
      <w:tr w:rsidR="00DF76ED" w:rsidTr="00DF76ED">
        <w:trPr>
          <w:trHeight w:val="27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Hoofdstuk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Vraag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Antwoord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</w:p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Wie worden door Wittewrongel aangemerkt als meesters en meesteressen?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Regeerders van landgoederen.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Godzalige heiligen.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Mannen en vrouwen die de hulpen in de huishouding gebieden.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A2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Gods Woord bevat voortreffelijke beloften én veel dreigementen met betrekking tot betrachting van de plichten van ….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C2+1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meesters.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dienstknechten en meesters.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dienstknechten.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A5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In Christus geldt niet dienstknecht of vrije, maar hebben alle Christenen evenveel voordeel. Betekent dit recht, dat deze orde ook in de natuur geldt?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C5+1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Ja, Augustinus zegt: dienstknecht is een naam van de natuur.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Ja, ook sommige wederdopers leerden dit.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Nee, dienstbaarheid is wel vrucht van de zonde, maar nu een plicht.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A8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Verschuldigde dienstbaarheid wordt door Wittewrongel samengevat door een vijftal plichten, te weten: vrees, onderwerping, ….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C8+1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respect, gehoorzaamheid en dienstvaardige gehoorzaamheid.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verdraagzaamheid, geduld en gehoorzaamheid.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onderdanigheid, beleefdheid en eerbied.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A11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Bij monde van welke profeet vroeg God Zijn dienstknechten: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Ben Ik een Heere, waar is Mijn vreze?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C11+1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Jesaja.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Amos.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Maleáchi.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A14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Dienstknechten en dienstmaagden werden gerekend tot de bezittingen van hun meesters. Welke Latijnse naam geeft dit aan?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C14+1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άπ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ρόσω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ποι.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possessio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άνθρω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πόδους.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A17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Op welke wijze moet men eerbied jegens meesters of vrouwen in het spreken laten zien?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C17+1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Met gepaste eretitels, weinig woorden, beleefd, op tijd en oprecht.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Zoals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Ziba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over zijn heer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Mefibóseth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sprak.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Door onderwerping, opvolging, onderdanigheid en geduld.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A20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Van welke leraar is de uitspraak: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De verdraagzaamheid van de scholier wordt de onderwijzing van zijn meester?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C20+1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Cyprianus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Augustinus.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Gregorius.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A23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Meesters hebben de ziel niet te gebieden: daarover heeft God de Heere alleen de heerschappij. Wie luisterde niet naar de begeerte van zijn meesteres en bleef trouw aan God?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C23+1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Doëg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de knecht van Saul.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Jozef, de zoon van Rachel.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Absalom, de zoon van David.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De manier van plichtsbetrachting door dienstknechten en dienstmaagden wordt gekenmerkt door een zestal zaken, te weten: met vreze en beven, naarstig, in eenvoudigheid des harten …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eensgezind, getrouw en dienstvaardig.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bereidwillig, eensgezind en eenvoudig.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als voor de ogen Gods, bereidwillig en met alle getrouwheid.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A29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Welk noodzakelijk ingrediënt is als het zout van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spijze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wat diensten van gehoorzaamheid aangenaam maakt?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C29+1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Bereidwilligheid.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Getrouwheid.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Vreze en beven.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Hoofdstuk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Vraag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Antwoord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</w:p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A32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Wat is een belangrijke factor die een dienstknecht tot zijn dienst bereidwillig maakt?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C32+1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Geduld.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Liefde.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Vlijt.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A36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Wie schilderde een dienstknecht met allerlei gereedschap in zijn handen om te kennen te geven dat hij vlijtig moest zijn in zijn werk?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C36+1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Apelles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Germanicus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Tacitus.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A39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Dienstknechten moeten hun getrouwheid laten blijken: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t.o.v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goederen van hun meester, in alle zaken van hun meester, wat hun goede naam betreft, jegens hun mededienstknechten, zowel t.o.v. de man én de vrouw, ….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C39+1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en door onderdanigheid.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jegens de kinderen van hun meester en m.b.t. hun gezondheid.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en door goedwilligheid.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A42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Welke apostel noemt in zijn brieven meerdere beweegredenen voor gewetensvolle plichtsbetrachting door dienstknechten?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C42+1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Petrus.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Johannes.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Paulus.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A45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Wat is het Hebreeuwse woord voor dienstmaagd?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C45+1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amah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omen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aman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Welke voorbeelden uit de Schrift laten zien dat vrome en godzalige dienstboden tot zegen voor een huisgezin kunnen zijn?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Onésimus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bij Filémon 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Eliëzer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bij Abraham.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Jozef bij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Potifar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en Jakob bij Laban.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Jozef bij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Potifar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Onésimus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bij Filémon.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A51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Van welke dichter zijn de woorden: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die in den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oprechten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weg wandelt, die zal mij dienen?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C51+1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Asaf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Heman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David.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A54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Van wie wordt het gezag over zijn dienstknechten op overduidelijke wijze geroemd?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C54+1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Sálomo.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De hoofdman over honderd.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De priester Eli.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Handhaving van het gezag door voldoende overwicht, vereist volgens Wittewrongel: een goede levensstijl, niet al te gemeenzaam zijn, aanzien hooghouden, standvastigheid, …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publiek bekende eerbaarheid en gematigde zachtheid.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en enige gelatenheid.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… verdraagzaamheid en vriendelijke zachtzinnigheid.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A60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36</w:t>
            </w:r>
            <w: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 kunst van het gebieden: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ars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imperandi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bestaat uit een viertal elementen: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pia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possibilia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utilia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proportionabilia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Wat houdt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pia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in?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>
            <w:pPr>
              <w:pStyle w:val="Tabelstijl2"/>
              <w:jc w:val="center"/>
            </w:pPr>
            <w:r>
              <w:fldChar w:fldCharType="begin"/>
            </w:r>
            <w:r>
              <w:instrText xml:space="preserve"> = C60+1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fldChar w:fldCharType="end"/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Bevelen die redelijk zijn.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Nuttig en weloverwogen.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  <w:tr w:rsidR="00DF76ED" w:rsidTr="00DF76ED">
        <w:trPr>
          <w:trHeight w:val="279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</w:pPr>
            <w:r>
              <w:rPr>
                <w:rFonts w:ascii="Times New Roman" w:hAnsi="Times New Roman"/>
                <w:sz w:val="18"/>
                <w:szCs w:val="18"/>
              </w:rPr>
              <w:t>Niet strijdend tegen de bevelen Gods (heilig).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6ED" w:rsidRDefault="00DF76ED" w:rsidP="00EA0746">
            <w:pPr>
              <w:pStyle w:val="Tabelstijl2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6ED" w:rsidRDefault="00DF76ED" w:rsidP="00EA0746"/>
        </w:tc>
      </w:tr>
    </w:tbl>
    <w:p w:rsidR="00902B7B" w:rsidRDefault="00902B7B">
      <w:bookmarkStart w:id="0" w:name="_GoBack"/>
      <w:bookmarkEnd w:id="0"/>
    </w:p>
    <w:sectPr w:rsidR="00902B7B" w:rsidSect="00DF76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ED"/>
    <w:rsid w:val="00003A9D"/>
    <w:rsid w:val="000367B5"/>
    <w:rsid w:val="0004756C"/>
    <w:rsid w:val="00082EEF"/>
    <w:rsid w:val="0009440E"/>
    <w:rsid w:val="001163C1"/>
    <w:rsid w:val="001256B3"/>
    <w:rsid w:val="002801BF"/>
    <w:rsid w:val="002E32A3"/>
    <w:rsid w:val="0030693B"/>
    <w:rsid w:val="0035082A"/>
    <w:rsid w:val="0036627A"/>
    <w:rsid w:val="00430713"/>
    <w:rsid w:val="004C3C2A"/>
    <w:rsid w:val="004C6449"/>
    <w:rsid w:val="004E1382"/>
    <w:rsid w:val="004F1CD5"/>
    <w:rsid w:val="004F66AE"/>
    <w:rsid w:val="004F72EF"/>
    <w:rsid w:val="00537732"/>
    <w:rsid w:val="00564C16"/>
    <w:rsid w:val="0062033A"/>
    <w:rsid w:val="006C3275"/>
    <w:rsid w:val="00750AB4"/>
    <w:rsid w:val="00800804"/>
    <w:rsid w:val="008A1545"/>
    <w:rsid w:val="00902B7B"/>
    <w:rsid w:val="00904B26"/>
    <w:rsid w:val="00A115C0"/>
    <w:rsid w:val="00A8500D"/>
    <w:rsid w:val="00AC5E54"/>
    <w:rsid w:val="00AC654D"/>
    <w:rsid w:val="00AC799B"/>
    <w:rsid w:val="00B01E49"/>
    <w:rsid w:val="00BE588A"/>
    <w:rsid w:val="00C61787"/>
    <w:rsid w:val="00C845A8"/>
    <w:rsid w:val="00CE23D2"/>
    <w:rsid w:val="00D43E01"/>
    <w:rsid w:val="00DF76ED"/>
    <w:rsid w:val="00E175B2"/>
    <w:rsid w:val="00E5596C"/>
    <w:rsid w:val="00E8060D"/>
    <w:rsid w:val="00E90DFD"/>
    <w:rsid w:val="00F0321C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F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F76ED"/>
    <w:rPr>
      <w:u w:val="single"/>
    </w:rPr>
  </w:style>
  <w:style w:type="table" w:customStyle="1" w:styleId="TableNormal">
    <w:name w:val="Table Normal"/>
    <w:rsid w:val="00DF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tekst2">
    <w:name w:val="Koptekst 2"/>
    <w:next w:val="Hoofdtekst"/>
    <w:rsid w:val="00DF76E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en-US" w:eastAsia="nl-NL"/>
    </w:rPr>
  </w:style>
  <w:style w:type="paragraph" w:customStyle="1" w:styleId="Hoofdtekst">
    <w:name w:val="Hoofdtekst"/>
    <w:rsid w:val="00DF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nl-NL"/>
    </w:rPr>
  </w:style>
  <w:style w:type="paragraph" w:customStyle="1" w:styleId="Koptekst3">
    <w:name w:val="Koptekst 3"/>
    <w:next w:val="Hoofdtekst"/>
    <w:rsid w:val="00DF76ED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nl-NL"/>
    </w:rPr>
  </w:style>
  <w:style w:type="paragraph" w:customStyle="1" w:styleId="Tabelstijl2">
    <w:name w:val="Tabelstijl 2"/>
    <w:rsid w:val="00DF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F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F76ED"/>
    <w:rPr>
      <w:u w:val="single"/>
    </w:rPr>
  </w:style>
  <w:style w:type="table" w:customStyle="1" w:styleId="TableNormal">
    <w:name w:val="Table Normal"/>
    <w:rsid w:val="00DF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tekst2">
    <w:name w:val="Koptekst 2"/>
    <w:next w:val="Hoofdtekst"/>
    <w:rsid w:val="00DF76E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en-US" w:eastAsia="nl-NL"/>
    </w:rPr>
  </w:style>
  <w:style w:type="paragraph" w:customStyle="1" w:styleId="Hoofdtekst">
    <w:name w:val="Hoofdtekst"/>
    <w:rsid w:val="00DF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nl-NL"/>
    </w:rPr>
  </w:style>
  <w:style w:type="paragraph" w:customStyle="1" w:styleId="Koptekst3">
    <w:name w:val="Koptekst 3"/>
    <w:next w:val="Hoofdtekst"/>
    <w:rsid w:val="00DF76ED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nl-NL"/>
    </w:rPr>
  </w:style>
  <w:style w:type="paragraph" w:customStyle="1" w:styleId="Tabelstijl2">
    <w:name w:val="Tabelstijl 2"/>
    <w:rsid w:val="00DF7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.Schalk@kpnplane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vdvelde</dc:creator>
  <cp:lastModifiedBy>vdvelde</cp:lastModifiedBy>
  <cp:revision>1</cp:revision>
  <dcterms:created xsi:type="dcterms:W3CDTF">2017-11-04T07:45:00Z</dcterms:created>
  <dcterms:modified xsi:type="dcterms:W3CDTF">2017-11-04T07:47:00Z</dcterms:modified>
</cp:coreProperties>
</file>